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tblLook w:val="04A0" w:firstRow="1" w:lastRow="0" w:firstColumn="1" w:lastColumn="0" w:noHBand="0" w:noVBand="1"/>
      </w:tblPr>
      <w:tblGrid>
        <w:gridCol w:w="9778"/>
      </w:tblGrid>
      <w:tr w:rsidR="00FC456A" w:rsidRPr="00FC456A" w:rsidTr="009428D3">
        <w:tc>
          <w:tcPr>
            <w:tcW w:w="9778" w:type="dxa"/>
          </w:tcPr>
          <w:p w:rsidR="00FC456A" w:rsidRPr="00FC456A" w:rsidRDefault="00FC456A" w:rsidP="00FC456A">
            <w:pPr>
              <w:rPr>
                <w:rFonts w:ascii="Times New Roman" w:hAnsi="Times New Roman" w:cs="Times New Roman"/>
                <w:b/>
              </w:rPr>
            </w:pPr>
            <w:r w:rsidRPr="00FC456A">
              <w:rPr>
                <w:rFonts w:ascii="Times New Roman" w:hAnsi="Times New Roman" w:cs="Times New Roman"/>
                <w:b/>
              </w:rPr>
              <w:t>LOTTO 7  SISTEMA DIAGNOSTICO PER ANALISI SU MATRICE FECALE</w:t>
            </w:r>
          </w:p>
        </w:tc>
      </w:tr>
    </w:tbl>
    <w:p w:rsidR="00FC456A" w:rsidRDefault="00FC456A">
      <w:pPr>
        <w:rPr>
          <w:rFonts w:ascii="Times New Roman" w:hAnsi="Times New Roman" w:cs="Times New Roman"/>
        </w:rPr>
      </w:pPr>
    </w:p>
    <w:tbl>
      <w:tblPr>
        <w:tblStyle w:val="Grigliatabella"/>
        <w:tblW w:w="0" w:type="auto"/>
        <w:tblLayout w:type="fixed"/>
        <w:tblLook w:val="04A0" w:firstRow="1" w:lastRow="0" w:firstColumn="1" w:lastColumn="0" w:noHBand="0" w:noVBand="1"/>
      </w:tblPr>
      <w:tblGrid>
        <w:gridCol w:w="7479"/>
        <w:gridCol w:w="2299"/>
      </w:tblGrid>
      <w:tr w:rsidR="00FC456A" w:rsidTr="00FC456A">
        <w:trPr>
          <w:trHeight w:val="227"/>
        </w:trPr>
        <w:tc>
          <w:tcPr>
            <w:tcW w:w="7479" w:type="dxa"/>
            <w:vAlign w:val="center"/>
          </w:tcPr>
          <w:p w:rsidR="00FC456A" w:rsidRPr="00617608" w:rsidRDefault="00FC456A" w:rsidP="00C87624">
            <w:pPr>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299" w:type="dxa"/>
          </w:tcPr>
          <w:p w:rsidR="00FC456A" w:rsidRPr="00A45BA4" w:rsidRDefault="00FC456A" w:rsidP="00C87624">
            <w:pPr>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FC456A" w:rsidTr="00FC456A">
        <w:trPr>
          <w:trHeight w:val="227"/>
        </w:trPr>
        <w:tc>
          <w:tcPr>
            <w:tcW w:w="7479" w:type="dxa"/>
          </w:tcPr>
          <w:p w:rsidR="00FC456A" w:rsidRPr="00FC456A" w:rsidRDefault="00FC456A" w:rsidP="00FC456A">
            <w:pPr>
              <w:pStyle w:val="ListParagraph"/>
              <w:widowControl/>
              <w:numPr>
                <w:ilvl w:val="0"/>
                <w:numId w:val="1"/>
              </w:numPr>
              <w:spacing w:after="160"/>
              <w:contextualSpacing/>
              <w:rPr>
                <w:rFonts w:ascii="Times New Roman" w:hAnsi="Times New Roman" w:cs="Times New Roman"/>
              </w:rPr>
            </w:pPr>
            <w:r w:rsidRPr="00516377">
              <w:rPr>
                <w:rFonts w:ascii="Times New Roman" w:hAnsi="Times New Roman" w:cs="Times New Roman"/>
              </w:rPr>
              <w:t>Ai fini della realizzazione di un’area diagnostica su matrice fecale il progetto dovrà comprendere la fornitura della totalità della tipologia dei test nessuno escluso. Saranno ammesse offerte con più di una strumentazion</w:t>
            </w:r>
            <w:r>
              <w:rPr>
                <w:rFonts w:ascii="Times New Roman" w:hAnsi="Times New Roman" w:cs="Times New Roman"/>
              </w:rPr>
              <w:t>e anche con tecnologia diversa</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60"/>
              <w:contextualSpacing/>
            </w:pPr>
            <w:r w:rsidRPr="00516377">
              <w:rPr>
                <w:rFonts w:ascii="Times New Roman" w:hAnsi="Times New Roman" w:cs="Times New Roman"/>
              </w:rPr>
              <w:t xml:space="preserve">Fornitura di tutto il materiale necessario all’esecuzione delle determinazioni/anno riportate nell’ “Elenco esami” comprensive </w:t>
            </w:r>
            <w:r>
              <w:rPr>
                <w:rFonts w:ascii="Times New Roman" w:hAnsi="Times New Roman" w:cs="Times New Roman"/>
              </w:rPr>
              <w:t xml:space="preserve">dei </w:t>
            </w:r>
            <w:proofErr w:type="spellStart"/>
            <w:r>
              <w:rPr>
                <w:rFonts w:ascii="Times New Roman" w:hAnsi="Times New Roman" w:cs="Times New Roman"/>
              </w:rPr>
              <w:t>device</w:t>
            </w:r>
            <w:proofErr w:type="spellEnd"/>
            <w:r>
              <w:rPr>
                <w:rFonts w:ascii="Times New Roman" w:hAnsi="Times New Roman" w:cs="Times New Roman"/>
              </w:rPr>
              <w:t xml:space="preserve"> di raccolta campione</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60"/>
              <w:contextualSpacing/>
            </w:pPr>
            <w:r w:rsidRPr="00516377">
              <w:rPr>
                <w:rFonts w:ascii="Times New Roman" w:hAnsi="Times New Roman" w:cs="Times New Roman"/>
              </w:rPr>
              <w:t>Riconoscimento positivo dei campioni, dei reattivi, dei calibratori e dei controlli tramite codic</w:t>
            </w:r>
            <w:r>
              <w:rPr>
                <w:rFonts w:ascii="Times New Roman" w:hAnsi="Times New Roman" w:cs="Times New Roman"/>
              </w:rPr>
              <w:t>e a barre o sistemi equivalenti</w:t>
            </w:r>
            <w:r>
              <w:t xml:space="preserve"> </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60"/>
              <w:contextualSpacing/>
            </w:pPr>
            <w:r w:rsidRPr="00516377">
              <w:rPr>
                <w:rFonts w:ascii="Times New Roman" w:hAnsi="Times New Roman" w:cs="Times New Roman"/>
              </w:rPr>
              <w:t>Monitoraggio automatico dei reagenti e consumabili on-</w:t>
            </w:r>
            <w:proofErr w:type="spellStart"/>
            <w:r w:rsidRPr="00516377">
              <w:rPr>
                <w:rFonts w:ascii="Times New Roman" w:hAnsi="Times New Roman" w:cs="Times New Roman"/>
              </w:rPr>
              <w:t>board</w:t>
            </w:r>
            <w:proofErr w:type="spellEnd"/>
            <w:r w:rsidRPr="00516377">
              <w:rPr>
                <w:rFonts w:ascii="Times New Roman" w:hAnsi="Times New Roman" w:cs="Times New Roman"/>
              </w:rPr>
              <w:t xml:space="preserve"> con </w:t>
            </w:r>
            <w:r>
              <w:rPr>
                <w:rFonts w:ascii="Times New Roman" w:hAnsi="Times New Roman" w:cs="Times New Roman"/>
              </w:rPr>
              <w:t>segnalazione dei valori residui</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60"/>
              <w:contextualSpacing/>
            </w:pPr>
            <w:r w:rsidRPr="00516377">
              <w:rPr>
                <w:rFonts w:ascii="Times New Roman" w:hAnsi="Times New Roman" w:cs="Times New Roman"/>
              </w:rPr>
              <w:t>Presenza di sensori di livello per campioni con seg</w:t>
            </w:r>
            <w:r>
              <w:rPr>
                <w:rFonts w:ascii="Times New Roman" w:hAnsi="Times New Roman" w:cs="Times New Roman"/>
              </w:rPr>
              <w:t>nalazione di allarme immediato</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59"/>
              <w:contextualSpacing/>
            </w:pPr>
            <w:r w:rsidRPr="00516377">
              <w:rPr>
                <w:rFonts w:ascii="Times New Roman" w:hAnsi="Times New Roman" w:cs="Times New Roman"/>
              </w:rPr>
              <w:t>Dotazione</w:t>
            </w:r>
            <w:r>
              <w:rPr>
                <w:rFonts w:ascii="Times New Roman" w:hAnsi="Times New Roman" w:cs="Times New Roman"/>
              </w:rPr>
              <w:t xml:space="preserve"> di allarmi di malfunzionamento</w:t>
            </w:r>
          </w:p>
        </w:tc>
        <w:tc>
          <w:tcPr>
            <w:tcW w:w="2299" w:type="dxa"/>
          </w:tcPr>
          <w:p w:rsidR="00FC456A" w:rsidRDefault="00FC456A"/>
        </w:tc>
      </w:tr>
      <w:tr w:rsidR="00FC456A" w:rsidTr="00FC456A">
        <w:trPr>
          <w:trHeight w:val="227"/>
        </w:trPr>
        <w:tc>
          <w:tcPr>
            <w:tcW w:w="7479" w:type="dxa"/>
          </w:tcPr>
          <w:p w:rsidR="00FC456A" w:rsidRDefault="00FC456A" w:rsidP="00FC456A">
            <w:pPr>
              <w:pStyle w:val="ListParagraph"/>
              <w:widowControl/>
              <w:numPr>
                <w:ilvl w:val="0"/>
                <w:numId w:val="1"/>
              </w:numPr>
              <w:spacing w:after="159"/>
              <w:contextualSpacing/>
            </w:pPr>
            <w:r w:rsidRPr="00516377">
              <w:rPr>
                <w:rFonts w:ascii="Times New Roman" w:hAnsi="Times New Roman" w:cs="Times New Roman"/>
              </w:rPr>
              <w:t>Servizio di assistenza tecnica per hardware e software, con intervento on site entro 8 ore lavorative dalla chiamata dal lunedì al venerdì. Servizio di assistenza telefonica fornito da operatori specializzati per hardware e software 5 gg su 7 disponi</w:t>
            </w:r>
            <w:r>
              <w:rPr>
                <w:rFonts w:ascii="Times New Roman" w:hAnsi="Times New Roman" w:cs="Times New Roman"/>
              </w:rPr>
              <w:t>bile 8 ore lavorative al giorno</w:t>
            </w:r>
          </w:p>
        </w:tc>
        <w:tc>
          <w:tcPr>
            <w:tcW w:w="2299" w:type="dxa"/>
          </w:tcPr>
          <w:p w:rsidR="00FC456A" w:rsidRDefault="00FC456A"/>
        </w:tc>
      </w:tr>
    </w:tbl>
    <w:p w:rsidR="00FC456A" w:rsidRDefault="00FC456A"/>
    <w:tbl>
      <w:tblPr>
        <w:tblW w:w="0" w:type="auto"/>
        <w:tblLayout w:type="fixed"/>
        <w:tblLook w:val="0000" w:firstRow="0" w:lastRow="0" w:firstColumn="0" w:lastColumn="0" w:noHBand="0" w:noVBand="0"/>
      </w:tblPr>
      <w:tblGrid>
        <w:gridCol w:w="7479"/>
        <w:gridCol w:w="2375"/>
      </w:tblGrid>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617608" w:rsidRDefault="00FC456A" w:rsidP="00C87624">
            <w:pPr>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375" w:type="dxa"/>
            <w:tcBorders>
              <w:top w:val="single" w:sz="4" w:space="0" w:color="000000"/>
              <w:left w:val="single" w:sz="4" w:space="0" w:color="000000"/>
              <w:bottom w:val="single" w:sz="4" w:space="0" w:color="000000"/>
              <w:right w:val="single" w:sz="4" w:space="0" w:color="000000"/>
            </w:tcBorders>
            <w:shd w:val="clear" w:color="auto" w:fill="auto"/>
          </w:tcPr>
          <w:p w:rsidR="00FC456A" w:rsidRPr="00A45BA4" w:rsidRDefault="00FC456A" w:rsidP="00C87624">
            <w:pPr>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jc w:val="both"/>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 xml:space="preserve">Determinazione della concordanza clinica (sensibilità e specificità), per il test della rilevazione della </w:t>
            </w:r>
            <w:proofErr w:type="spellStart"/>
            <w:r w:rsidRPr="00EF598A">
              <w:rPr>
                <w:rFonts w:ascii="Times New Roman" w:eastAsia="Times New Roman" w:hAnsi="Times New Roman" w:cs="Times New Roman"/>
                <w:sz w:val="24"/>
                <w:szCs w:val="24"/>
                <w:lang w:eastAsia="it-IT"/>
              </w:rPr>
              <w:t>calprotectina</w:t>
            </w:r>
            <w:proofErr w:type="spellEnd"/>
            <w:r w:rsidRPr="00EF598A">
              <w:rPr>
                <w:rFonts w:ascii="Times New Roman" w:eastAsia="Times New Roman" w:hAnsi="Times New Roman" w:cs="Times New Roman"/>
                <w:sz w:val="24"/>
                <w:szCs w:val="24"/>
                <w:lang w:eastAsia="it-IT"/>
              </w:rPr>
              <w:t>, con la malattia infiammatoria intestinale (IBD), confermata attraverso esame istologico. Relazionare.</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Dettagliato studio su eventuali sostanze interferent</w:t>
            </w:r>
            <w:r>
              <w:rPr>
                <w:rFonts w:ascii="Times New Roman" w:eastAsia="Times New Roman" w:hAnsi="Times New Roman" w:cs="Times New Roman"/>
                <w:sz w:val="24"/>
                <w:szCs w:val="24"/>
                <w:lang w:eastAsia="it-IT"/>
              </w:rPr>
              <w:t>i per i test proposti in gara.</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C87624">
            <w:pPr>
              <w:jc w:val="both"/>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 xml:space="preserve">Elenco delle Forniture attive sul territorio nazionale in riferimento a </w:t>
            </w:r>
            <w:r w:rsidRPr="00EF598A">
              <w:rPr>
                <w:rFonts w:ascii="Times New Roman" w:eastAsia="Times New Roman" w:hAnsi="Times New Roman" w:cs="Times New Roman"/>
                <w:sz w:val="24"/>
                <w:szCs w:val="24"/>
                <w:lang w:eastAsia="it-IT"/>
              </w:rPr>
              <w:lastRenderedPageBreak/>
              <w:t>installazioni di pari tipologia e complessità.</w:t>
            </w:r>
          </w:p>
          <w:p w:rsidR="00FC456A" w:rsidRPr="00EF598A" w:rsidRDefault="00FC456A" w:rsidP="00FC456A">
            <w:pPr>
              <w:jc w:val="both"/>
              <w:rPr>
                <w:rFonts w:ascii="Times New Roman" w:hAnsi="Times New Roman" w:cs="Times New Roman"/>
                <w:sz w:val="24"/>
                <w:szCs w:val="24"/>
              </w:rPr>
            </w:pPr>
            <w:r w:rsidRPr="00EF598A">
              <w:rPr>
                <w:rFonts w:ascii="Times New Roman" w:eastAsia="Times New Roman" w:hAnsi="Times New Roman" w:cs="Times New Roman"/>
                <w:sz w:val="24"/>
                <w:szCs w:val="24"/>
                <w:lang w:eastAsia="it-IT"/>
              </w:rPr>
              <w:t>Si valuteranno il numero di strutture e volume di attività delle medesime.</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lastRenderedPageBreak/>
              <w:t>Esecuzione di tutti i test su strumentazione in chemiluminescenza automatica a caricamento in continuo dei campioni.</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jc w:val="both"/>
              <w:rPr>
                <w:rFonts w:ascii="Times New Roman" w:hAnsi="Times New Roman" w:cs="Times New Roman"/>
                <w:sz w:val="24"/>
                <w:szCs w:val="24"/>
              </w:rPr>
            </w:pPr>
            <w:r w:rsidRPr="00EF598A">
              <w:rPr>
                <w:rFonts w:ascii="Times New Roman" w:eastAsia="Times New Roman" w:hAnsi="Times New Roman" w:cs="Times New Roman"/>
                <w:sz w:val="24"/>
                <w:szCs w:val="24"/>
                <w:lang w:eastAsia="it-IT"/>
              </w:rPr>
              <w:t>Analizzatori in grado di minimizzare le non conformità derivanti da problematiche di trascinamento relative a campioni e reagenti.</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C87624">
            <w:pPr>
              <w:jc w:val="both"/>
              <w:rPr>
                <w:rFonts w:ascii="Times New Roman" w:hAnsi="Times New Roman" w:cs="Times New Roman"/>
                <w:sz w:val="24"/>
                <w:szCs w:val="24"/>
              </w:rPr>
            </w:pPr>
            <w:r w:rsidRPr="00EF598A">
              <w:rPr>
                <w:rFonts w:ascii="Times New Roman" w:eastAsia="Times New Roman" w:hAnsi="Times New Roman" w:cs="Times New Roman"/>
                <w:sz w:val="24"/>
                <w:szCs w:val="24"/>
                <w:lang w:eastAsia="it-IT"/>
              </w:rPr>
              <w:t>Al fine di garantire logiche di recupero routine in caso di fermi macchina prolungati,</w:t>
            </w:r>
            <w:r w:rsidRPr="00EF598A">
              <w:rPr>
                <w:rFonts w:ascii="Times New Roman" w:hAnsi="Times New Roman" w:cs="Times New Roman"/>
                <w:sz w:val="24"/>
                <w:szCs w:val="24"/>
              </w:rPr>
              <w:t xml:space="preserve"> </w:t>
            </w:r>
            <w:r w:rsidRPr="00EF598A">
              <w:rPr>
                <w:rFonts w:ascii="Times New Roman" w:eastAsia="Times New Roman" w:hAnsi="Times New Roman" w:cs="Times New Roman"/>
                <w:sz w:val="24"/>
                <w:szCs w:val="24"/>
                <w:lang w:eastAsia="it-IT"/>
              </w:rPr>
              <w:t xml:space="preserve">sarà premiata la maggiore produttività analitica del singolo analizzatore e la maggiore capacità di carico reagenti, campioni e consumabili. </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jc w:val="both"/>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Consolidamento dell’esecuzione delle determinazioni oggetto delle ric</w:t>
            </w:r>
            <w:r>
              <w:rPr>
                <w:rFonts w:ascii="Times New Roman" w:eastAsia="Times New Roman" w:hAnsi="Times New Roman" w:cs="Times New Roman"/>
                <w:sz w:val="24"/>
                <w:szCs w:val="24"/>
                <w:lang w:eastAsia="it-IT"/>
              </w:rPr>
              <w:t>hieste su unica strumentazione.</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 xml:space="preserve">Valutazione della sensibilità e specificità clinica del test per la ricerca dell'Ag di </w:t>
            </w:r>
            <w:proofErr w:type="spellStart"/>
            <w:r w:rsidRPr="00EF598A">
              <w:rPr>
                <w:rFonts w:ascii="Times New Roman" w:eastAsia="Times New Roman" w:hAnsi="Times New Roman" w:cs="Times New Roman"/>
                <w:sz w:val="24"/>
                <w:szCs w:val="24"/>
                <w:lang w:eastAsia="it-IT"/>
              </w:rPr>
              <w:t>H.pylori</w:t>
            </w:r>
            <w:proofErr w:type="spellEnd"/>
            <w:r w:rsidRPr="00EF598A">
              <w:rPr>
                <w:rFonts w:ascii="Times New Roman" w:eastAsia="Times New Roman" w:hAnsi="Times New Roman" w:cs="Times New Roman"/>
                <w:sz w:val="24"/>
                <w:szCs w:val="24"/>
                <w:lang w:eastAsia="it-IT"/>
              </w:rPr>
              <w:t xml:space="preserve"> alla diagnosi iniziale e in seguit</w:t>
            </w:r>
            <w:r>
              <w:rPr>
                <w:rFonts w:ascii="Times New Roman" w:eastAsia="Times New Roman" w:hAnsi="Times New Roman" w:cs="Times New Roman"/>
                <w:sz w:val="24"/>
                <w:szCs w:val="24"/>
                <w:lang w:eastAsia="it-IT"/>
              </w:rPr>
              <w:t>o a terapia post eradicazione.</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FC456A">
            <w:pPr>
              <w:jc w:val="both"/>
              <w:rPr>
                <w:rFonts w:ascii="Times New Roman" w:eastAsia="Times New Roman" w:hAnsi="Times New Roman" w:cs="Times New Roman"/>
                <w:sz w:val="24"/>
                <w:szCs w:val="24"/>
                <w:lang w:eastAsia="it-IT"/>
              </w:rPr>
            </w:pPr>
            <w:proofErr w:type="spellStart"/>
            <w:r w:rsidRPr="00EF598A">
              <w:rPr>
                <w:rFonts w:ascii="Times New Roman" w:eastAsia="Times New Roman" w:hAnsi="Times New Roman" w:cs="Times New Roman"/>
                <w:sz w:val="24"/>
                <w:szCs w:val="24"/>
                <w:lang w:eastAsia="it-IT"/>
              </w:rPr>
              <w:t>Range</w:t>
            </w:r>
            <w:proofErr w:type="spellEnd"/>
            <w:r w:rsidRPr="00EF598A">
              <w:rPr>
                <w:rFonts w:ascii="Times New Roman" w:eastAsia="Times New Roman" w:hAnsi="Times New Roman" w:cs="Times New Roman"/>
                <w:sz w:val="24"/>
                <w:szCs w:val="24"/>
                <w:lang w:eastAsia="it-IT"/>
              </w:rPr>
              <w:t xml:space="preserve"> di linearità del test </w:t>
            </w:r>
            <w:proofErr w:type="spellStart"/>
            <w:r w:rsidRPr="00EF598A">
              <w:rPr>
                <w:rFonts w:ascii="Times New Roman" w:eastAsia="Times New Roman" w:hAnsi="Times New Roman" w:cs="Times New Roman"/>
                <w:sz w:val="24"/>
                <w:szCs w:val="24"/>
                <w:lang w:eastAsia="it-IT"/>
              </w:rPr>
              <w:t>calprotectina</w:t>
            </w:r>
            <w:proofErr w:type="spellEnd"/>
            <w:r w:rsidRPr="00EF598A">
              <w:rPr>
                <w:rFonts w:ascii="Times New Roman" w:eastAsia="Times New Roman" w:hAnsi="Times New Roman" w:cs="Times New Roman"/>
                <w:sz w:val="24"/>
                <w:szCs w:val="24"/>
                <w:lang w:eastAsia="it-IT"/>
              </w:rPr>
              <w:t xml:space="preserve"> anche con eventuale </w:t>
            </w:r>
            <w:proofErr w:type="spellStart"/>
            <w:r w:rsidRPr="00EF598A">
              <w:rPr>
                <w:rFonts w:ascii="Times New Roman" w:eastAsia="Times New Roman" w:hAnsi="Times New Roman" w:cs="Times New Roman"/>
                <w:sz w:val="24"/>
                <w:szCs w:val="24"/>
                <w:lang w:eastAsia="it-IT"/>
              </w:rPr>
              <w:t>autodiluizione</w:t>
            </w:r>
            <w:proofErr w:type="spellEnd"/>
            <w:r w:rsidRPr="00EF598A">
              <w:rPr>
                <w:rFonts w:ascii="Times New Roman" w:eastAsia="Times New Roman" w:hAnsi="Times New Roman" w:cs="Times New Roman"/>
                <w:sz w:val="24"/>
                <w:szCs w:val="24"/>
                <w:lang w:eastAsia="it-IT"/>
              </w:rPr>
              <w:t xml:space="preserve"> del campione. Verrà attribuito il punteggio massimo al </w:t>
            </w:r>
            <w:proofErr w:type="spellStart"/>
            <w:r w:rsidRPr="00EF598A">
              <w:rPr>
                <w:rFonts w:ascii="Times New Roman" w:eastAsia="Times New Roman" w:hAnsi="Times New Roman" w:cs="Times New Roman"/>
                <w:sz w:val="24"/>
                <w:szCs w:val="24"/>
                <w:lang w:eastAsia="it-IT"/>
              </w:rPr>
              <w:t>range</w:t>
            </w:r>
            <w:proofErr w:type="spellEnd"/>
            <w:r w:rsidRPr="00EF598A">
              <w:rPr>
                <w:rFonts w:ascii="Times New Roman" w:eastAsia="Times New Roman" w:hAnsi="Times New Roman" w:cs="Times New Roman"/>
                <w:sz w:val="24"/>
                <w:szCs w:val="24"/>
                <w:lang w:eastAsia="it-IT"/>
              </w:rPr>
              <w:t xml:space="preserve"> più ampio. </w:t>
            </w:r>
            <w:bookmarkStart w:id="0" w:name="_GoBack"/>
            <w:bookmarkEnd w:id="0"/>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r w:rsidR="00FC456A" w:rsidRPr="00EF598A" w:rsidTr="00FC456A">
        <w:trPr>
          <w:trHeight w:val="20"/>
        </w:trPr>
        <w:tc>
          <w:tcPr>
            <w:tcW w:w="7479" w:type="dxa"/>
            <w:tcBorders>
              <w:top w:val="single" w:sz="4" w:space="0" w:color="000000"/>
              <w:left w:val="single" w:sz="4" w:space="0" w:color="000000"/>
              <w:bottom w:val="single" w:sz="4" w:space="0" w:color="000000"/>
              <w:right w:val="single" w:sz="4" w:space="0" w:color="000000"/>
            </w:tcBorders>
            <w:shd w:val="clear" w:color="auto" w:fill="auto"/>
          </w:tcPr>
          <w:p w:rsidR="00FC456A" w:rsidRPr="00EF598A" w:rsidRDefault="00FC456A" w:rsidP="00C87624">
            <w:pPr>
              <w:rPr>
                <w:rFonts w:ascii="Times New Roman" w:eastAsia="Times New Roman" w:hAnsi="Times New Roman" w:cs="Times New Roman"/>
                <w:sz w:val="24"/>
                <w:szCs w:val="24"/>
                <w:lang w:eastAsia="it-IT"/>
              </w:rPr>
            </w:pPr>
            <w:r w:rsidRPr="00EF598A">
              <w:rPr>
                <w:rFonts w:ascii="Times New Roman" w:eastAsia="Times New Roman" w:hAnsi="Times New Roman" w:cs="Times New Roman"/>
                <w:sz w:val="24"/>
                <w:szCs w:val="24"/>
                <w:lang w:eastAsia="it-IT"/>
              </w:rPr>
              <w:t xml:space="preserve"> Verrà valutato il servizio post-vendita proposto dalla ditta nel suo complesso. In particolare verrà valutata la proposta progettuale per tempi e modalità di risoluzione dei guasti, volta a garantire la continuità dia</w:t>
            </w:r>
            <w:r w:rsidRPr="00EF598A">
              <w:rPr>
                <w:rFonts w:ascii="Times New Roman" w:eastAsia="Times New Roman" w:hAnsi="Times New Roman" w:cs="Times New Roman"/>
                <w:sz w:val="24"/>
                <w:szCs w:val="24"/>
                <w:lang w:eastAsia="it-IT"/>
              </w:rPr>
              <w:t>g</w:t>
            </w:r>
            <w:r w:rsidRPr="00EF598A">
              <w:rPr>
                <w:rFonts w:ascii="Times New Roman" w:eastAsia="Times New Roman" w:hAnsi="Times New Roman" w:cs="Times New Roman"/>
                <w:sz w:val="24"/>
                <w:szCs w:val="24"/>
                <w:lang w:eastAsia="it-IT"/>
              </w:rPr>
              <w:t>nostica e saranno premiate soluzioni di assistenza tecnica migliorative rispetto a quanto previsto nel cap</w:t>
            </w:r>
            <w:r w:rsidRPr="00EF598A">
              <w:rPr>
                <w:rFonts w:ascii="Times New Roman" w:eastAsia="Times New Roman" w:hAnsi="Times New Roman" w:cs="Times New Roman"/>
                <w:sz w:val="24"/>
                <w:szCs w:val="24"/>
                <w:lang w:eastAsia="it-IT"/>
              </w:rPr>
              <w:t>i</w:t>
            </w:r>
            <w:r w:rsidRPr="00EF598A">
              <w:rPr>
                <w:rFonts w:ascii="Times New Roman" w:eastAsia="Times New Roman" w:hAnsi="Times New Roman" w:cs="Times New Roman"/>
                <w:sz w:val="24"/>
                <w:szCs w:val="24"/>
                <w:lang w:eastAsia="it-IT"/>
              </w:rPr>
              <w:t>tolato speciale art. 6.2 del Capitolato speciale Parte Seconda.</w:t>
            </w:r>
          </w:p>
        </w:tc>
        <w:tc>
          <w:tcPr>
            <w:tcW w:w="2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56A" w:rsidRPr="00EF598A" w:rsidRDefault="00FC456A" w:rsidP="00C87624">
            <w:pPr>
              <w:jc w:val="center"/>
              <w:rPr>
                <w:rFonts w:ascii="Times New Roman" w:hAnsi="Times New Roman" w:cs="Times New Roman"/>
                <w:sz w:val="24"/>
                <w:szCs w:val="24"/>
              </w:rPr>
            </w:pPr>
          </w:p>
        </w:tc>
      </w:tr>
    </w:tbl>
    <w:p w:rsidR="00FC456A" w:rsidRDefault="00FC456A"/>
    <w:p w:rsidR="00FC456A" w:rsidRDefault="00FC456A"/>
    <w:sectPr w:rsidR="00FC456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EFAAEB8A"/>
    <w:name w:val="WW8Num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3D0"/>
    <w:rsid w:val="006003D0"/>
    <w:rsid w:val="006C0ABC"/>
    <w:rsid w:val="00FC45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C4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Normale"/>
    <w:rsid w:val="00FC456A"/>
    <w:pPr>
      <w:widowControl w:val="0"/>
      <w:suppressAutoHyphens/>
      <w:spacing w:after="0" w:line="240" w:lineRule="auto"/>
      <w:ind w:left="476" w:hanging="341"/>
      <w:jc w:val="both"/>
    </w:pPr>
    <w:rPr>
      <w:rFonts w:ascii="Liberation Serif" w:eastAsia="Segoe UI" w:hAnsi="Liberation Serif" w:cs="Tahoma"/>
      <w:color w:val="000000"/>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C4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Normale"/>
    <w:rsid w:val="00FC456A"/>
    <w:pPr>
      <w:widowControl w:val="0"/>
      <w:suppressAutoHyphens/>
      <w:spacing w:after="0" w:line="240" w:lineRule="auto"/>
      <w:ind w:left="476" w:hanging="341"/>
      <w:jc w:val="both"/>
    </w:pPr>
    <w:rPr>
      <w:rFonts w:ascii="Liberation Serif" w:eastAsia="Segoe UI" w:hAnsi="Liberation Serif" w:cs="Tahoma"/>
      <w:color w:val="000000"/>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2706</Characters>
  <Application>Microsoft Office Word</Application>
  <DocSecurity>0</DocSecurity>
  <Lines>22</Lines>
  <Paragraphs>6</Paragraphs>
  <ScaleCrop>false</ScaleCrop>
  <Company>ULSS9 Treviso - COI</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Federico Bressan</cp:lastModifiedBy>
  <cp:revision>2</cp:revision>
  <dcterms:created xsi:type="dcterms:W3CDTF">2024-07-11T06:40:00Z</dcterms:created>
  <dcterms:modified xsi:type="dcterms:W3CDTF">2024-07-11T06:46:00Z</dcterms:modified>
</cp:coreProperties>
</file>